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73A5" w14:textId="77777777" w:rsidR="004A48A3" w:rsidRPr="004A48A3" w:rsidRDefault="004A48A3" w:rsidP="004A48A3">
      <w:pPr>
        <w:rPr>
          <w:b/>
          <w:bCs/>
        </w:rPr>
      </w:pPr>
      <w:r w:rsidRPr="004A48A3">
        <w:rPr>
          <w:b/>
          <w:bCs/>
        </w:rPr>
        <w:t>Beregning av netto tilvekst minus avvirkning og naturlig avgang.</w:t>
      </w:r>
      <w:r w:rsidRPr="004A48A3">
        <w:rPr>
          <w:b/>
          <w:bCs/>
          <w:vertAlign w:val="superscript"/>
        </w:rPr>
        <w:footnoteReference w:id="1"/>
      </w:r>
    </w:p>
    <w:tbl>
      <w:tblPr>
        <w:tblStyle w:val="Tabellrutenett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3982"/>
        <w:gridCol w:w="2567"/>
        <w:gridCol w:w="1217"/>
        <w:gridCol w:w="1296"/>
      </w:tblGrid>
      <w:tr w:rsidR="004A48A3" w:rsidRPr="004A48A3" w14:paraId="08A09DA5" w14:textId="0B370DD8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5DB4" w14:textId="7777777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>Tilvekst av skog sett i forhold til avvirkning og naturlig avgang. Estimat for tilvekst er basert på tall fra 2023, avvirkning for 2024.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83FF" w14:textId="77777777" w:rsid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14:paraId="74089748" w14:textId="6C3F31C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 xml:space="preserve">Mill </w:t>
            </w:r>
            <w:proofErr w:type="spellStart"/>
            <w:r w:rsidRPr="004A48A3">
              <w:rPr>
                <w:b/>
                <w:bCs/>
              </w:rPr>
              <w:t>kbm</w:t>
            </w:r>
            <w:proofErr w:type="spellEnd"/>
          </w:p>
        </w:tc>
        <w:tc>
          <w:tcPr>
            <w:tcW w:w="2510" w:type="dxa"/>
            <w:gridSpan w:val="2"/>
          </w:tcPr>
          <w:p w14:paraId="172EBCB8" w14:textId="77777777" w:rsidR="004A48A3" w:rsidRDefault="004A48A3" w:rsidP="004A48A3">
            <w:pPr>
              <w:rPr>
                <w:b/>
                <w:bCs/>
              </w:rPr>
            </w:pPr>
          </w:p>
          <w:p w14:paraId="6C42DDF5" w14:textId="77777777" w:rsidR="004A48A3" w:rsidRDefault="004A48A3" w:rsidP="004A48A3">
            <w:pPr>
              <w:rPr>
                <w:b/>
                <w:bCs/>
              </w:rPr>
            </w:pPr>
          </w:p>
          <w:p w14:paraId="3423810B" w14:textId="77777777" w:rsid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5A1AC673" w14:textId="0CF3A809" w:rsidR="004A48A3" w:rsidRP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Mill </w:t>
            </w:r>
            <w:proofErr w:type="spellStart"/>
            <w:r>
              <w:rPr>
                <w:b/>
                <w:bCs/>
              </w:rPr>
              <w:t>kbm</w:t>
            </w:r>
            <w:proofErr w:type="spellEnd"/>
          </w:p>
        </w:tc>
      </w:tr>
      <w:tr w:rsidR="004A48A3" w:rsidRPr="004A48A3" w14:paraId="49A01183" w14:textId="503BFF58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796B" w14:textId="77777777" w:rsidR="004A48A3" w:rsidRPr="004A48A3" w:rsidRDefault="004A48A3" w:rsidP="004A48A3">
            <w:pPr>
              <w:rPr>
                <w:lang w:val="nn-NO"/>
              </w:rPr>
            </w:pPr>
            <w:r w:rsidRPr="004A48A3">
              <w:rPr>
                <w:lang w:val="nn-NO"/>
              </w:rPr>
              <w:t xml:space="preserve">Brutto tilvekst i produktiv skog (8,2 </w:t>
            </w:r>
            <w:proofErr w:type="spellStart"/>
            <w:r w:rsidRPr="004A48A3">
              <w:rPr>
                <w:lang w:val="nn-NO"/>
              </w:rPr>
              <w:t>mill</w:t>
            </w:r>
            <w:proofErr w:type="spellEnd"/>
            <w:r w:rsidRPr="004A48A3">
              <w:rPr>
                <w:lang w:val="nn-NO"/>
              </w:rPr>
              <w:t xml:space="preserve"> hektar) – </w:t>
            </w:r>
            <w:proofErr w:type="spellStart"/>
            <w:r w:rsidRPr="004A48A3">
              <w:rPr>
                <w:lang w:val="nn-NO"/>
              </w:rPr>
              <w:t>diam</w:t>
            </w:r>
            <w:proofErr w:type="spellEnd"/>
            <w:r w:rsidRPr="004A48A3">
              <w:rPr>
                <w:lang w:val="nn-NO"/>
              </w:rPr>
              <w:t xml:space="preserve"> bh ≥ 5 cm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B360" w14:textId="77777777" w:rsidR="004A48A3" w:rsidRPr="004A48A3" w:rsidRDefault="004A48A3" w:rsidP="004A48A3">
            <w:pPr>
              <w:rPr>
                <w:lang w:val="nn-NO"/>
              </w:rPr>
            </w:pPr>
            <w:r w:rsidRPr="004A48A3">
              <w:rPr>
                <w:lang w:val="nn-NO"/>
              </w:rPr>
              <w:t>21,8</w:t>
            </w:r>
          </w:p>
        </w:tc>
        <w:tc>
          <w:tcPr>
            <w:tcW w:w="2510" w:type="dxa"/>
            <w:gridSpan w:val="2"/>
          </w:tcPr>
          <w:p w14:paraId="6C5CC9CE" w14:textId="77777777" w:rsidR="004A48A3" w:rsidRDefault="004A48A3" w:rsidP="004A48A3">
            <w:pPr>
              <w:rPr>
                <w:lang w:val="nn-NO"/>
              </w:rPr>
            </w:pPr>
          </w:p>
          <w:p w14:paraId="28BFBD72" w14:textId="742AE4C8" w:rsidR="004A48A3" w:rsidRPr="004A48A3" w:rsidRDefault="004A48A3" w:rsidP="004A48A3">
            <w:pPr>
              <w:rPr>
                <w:lang w:val="nn-NO"/>
              </w:rPr>
            </w:pPr>
            <w:r>
              <w:rPr>
                <w:lang w:val="nn-NO"/>
              </w:rPr>
              <w:t>21,8</w:t>
            </w:r>
          </w:p>
        </w:tc>
      </w:tr>
      <w:tr w:rsidR="004A48A3" w:rsidRPr="004A48A3" w14:paraId="3D509E52" w14:textId="5ED37629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ABCE" w14:textId="77777777" w:rsidR="004A48A3" w:rsidRPr="004A48A3" w:rsidRDefault="004A48A3" w:rsidP="004A48A3">
            <w:bookmarkStart w:id="0" w:name="_Hlk190268841"/>
            <w:r w:rsidRPr="004A48A3">
              <w:rPr>
                <w:lang w:val="nn-NO"/>
              </w:rPr>
              <w:t xml:space="preserve">Brutto tilvekst i produktiv skog (8,2 </w:t>
            </w:r>
            <w:proofErr w:type="spellStart"/>
            <w:r w:rsidRPr="004A48A3">
              <w:rPr>
                <w:lang w:val="nn-NO"/>
              </w:rPr>
              <w:t>mill</w:t>
            </w:r>
            <w:proofErr w:type="spellEnd"/>
            <w:r w:rsidRPr="004A48A3">
              <w:rPr>
                <w:lang w:val="nn-NO"/>
              </w:rPr>
              <w:t xml:space="preserve"> hektar) – </w:t>
            </w:r>
            <w:proofErr w:type="spellStart"/>
            <w:r w:rsidRPr="004A48A3">
              <w:rPr>
                <w:lang w:val="nn-NO"/>
              </w:rPr>
              <w:t>diam</w:t>
            </w:r>
            <w:proofErr w:type="spellEnd"/>
            <w:r w:rsidRPr="004A48A3">
              <w:rPr>
                <w:lang w:val="nn-NO"/>
              </w:rPr>
              <w:t xml:space="preserve"> bh &lt; 5 cm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AFCF" w14:textId="77777777" w:rsidR="004A48A3" w:rsidRPr="004A48A3" w:rsidRDefault="004A48A3" w:rsidP="004A48A3">
            <w:r w:rsidRPr="004A48A3">
              <w:t>2,3</w:t>
            </w:r>
          </w:p>
        </w:tc>
        <w:tc>
          <w:tcPr>
            <w:tcW w:w="2510" w:type="dxa"/>
            <w:gridSpan w:val="2"/>
          </w:tcPr>
          <w:p w14:paraId="52DDB0CF" w14:textId="77777777" w:rsidR="004A48A3" w:rsidRDefault="004A48A3" w:rsidP="004A48A3"/>
          <w:p w14:paraId="7168E220" w14:textId="12335C1D" w:rsidR="004A48A3" w:rsidRPr="004A48A3" w:rsidRDefault="004A48A3" w:rsidP="004A48A3">
            <w:r>
              <w:t>2,3</w:t>
            </w:r>
          </w:p>
        </w:tc>
        <w:bookmarkEnd w:id="0"/>
      </w:tr>
      <w:tr w:rsidR="004A48A3" w:rsidRPr="004A48A3" w14:paraId="51CF4169" w14:textId="5FB7E0A8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8F06" w14:textId="77777777" w:rsidR="004A48A3" w:rsidRPr="004A48A3" w:rsidRDefault="004A48A3" w:rsidP="004A48A3">
            <w:pPr>
              <w:rPr>
                <w:b/>
                <w:bCs/>
                <w:lang w:val="nn-NO"/>
              </w:rPr>
            </w:pPr>
            <w:r w:rsidRPr="004A48A3">
              <w:rPr>
                <w:b/>
                <w:bCs/>
                <w:lang w:val="nn-NO"/>
              </w:rPr>
              <w:t>Sum brutto tilvekst alt areal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ADD9" w14:textId="7777777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>24,1</w:t>
            </w:r>
          </w:p>
        </w:tc>
        <w:tc>
          <w:tcPr>
            <w:tcW w:w="2510" w:type="dxa"/>
            <w:gridSpan w:val="2"/>
          </w:tcPr>
          <w:p w14:paraId="2C3270C3" w14:textId="6EE7F6F9" w:rsidR="004A48A3" w:rsidRP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</w:p>
        </w:tc>
      </w:tr>
      <w:tr w:rsidR="004A48A3" w:rsidRPr="004A48A3" w14:paraId="723C6C51" w14:textId="261CB99D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4259" w14:textId="77777777" w:rsidR="004A48A3" w:rsidRPr="004A48A3" w:rsidRDefault="004A48A3" w:rsidP="004A48A3">
            <w:bookmarkStart w:id="1" w:name="_Hlk190268861"/>
            <w:r w:rsidRPr="004A48A3">
              <w:t xml:space="preserve">Fradrag for tilvekst i ikke økonomisk drivverdig areal (6,5 </w:t>
            </w:r>
            <w:proofErr w:type="spellStart"/>
            <w:r w:rsidRPr="004A48A3">
              <w:t>mill</w:t>
            </w:r>
            <w:proofErr w:type="spellEnd"/>
            <w:r w:rsidRPr="004A48A3">
              <w:t xml:space="preserve"> hektar er beregnet som økonomisk drivverdig av </w:t>
            </w:r>
            <w:proofErr w:type="spellStart"/>
            <w:r w:rsidRPr="004A48A3">
              <w:t>Ldir</w:t>
            </w:r>
            <w:proofErr w:type="spellEnd"/>
            <w:r w:rsidRPr="004A48A3">
              <w:t xml:space="preserve"> i 2023, </w:t>
            </w:r>
            <w:proofErr w:type="spellStart"/>
            <w:r w:rsidRPr="004A48A3">
              <w:t>dvs</w:t>
            </w:r>
            <w:proofErr w:type="spellEnd"/>
            <w:r w:rsidRPr="004A48A3">
              <w:t xml:space="preserve"> 79% av </w:t>
            </w:r>
            <w:proofErr w:type="spellStart"/>
            <w:r w:rsidRPr="004A48A3">
              <w:t>prod</w:t>
            </w:r>
            <w:proofErr w:type="spellEnd"/>
            <w:r w:rsidRPr="004A48A3">
              <w:t xml:space="preserve"> areal. </w:t>
            </w:r>
            <w:bookmarkEnd w:id="1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04B4" w14:textId="77777777" w:rsidR="004A48A3" w:rsidRPr="004A48A3" w:rsidRDefault="004A48A3" w:rsidP="004A48A3">
            <w:r w:rsidRPr="004A48A3">
              <w:t>3,5</w:t>
            </w:r>
          </w:p>
        </w:tc>
        <w:tc>
          <w:tcPr>
            <w:tcW w:w="2510" w:type="dxa"/>
            <w:gridSpan w:val="2"/>
          </w:tcPr>
          <w:p w14:paraId="53059B66" w14:textId="77777777" w:rsidR="004A48A3" w:rsidRDefault="004A48A3" w:rsidP="004A48A3"/>
          <w:p w14:paraId="1B7F7663" w14:textId="77777777" w:rsidR="004A48A3" w:rsidRDefault="004A48A3" w:rsidP="004A48A3"/>
          <w:p w14:paraId="4A661504" w14:textId="77777777" w:rsidR="004A48A3" w:rsidRDefault="004A48A3" w:rsidP="004A48A3"/>
          <w:p w14:paraId="37098E88" w14:textId="1B0C739E" w:rsidR="004A48A3" w:rsidRPr="004A48A3" w:rsidRDefault="004A48A3" w:rsidP="004A48A3">
            <w:r>
              <w:t>3,5</w:t>
            </w:r>
          </w:p>
        </w:tc>
      </w:tr>
      <w:tr w:rsidR="004A48A3" w:rsidRPr="004A48A3" w14:paraId="5FC07FC6" w14:textId="04ADD0BA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543E" w14:textId="77777777" w:rsidR="004A48A3" w:rsidRPr="004A48A3" w:rsidRDefault="004A48A3" w:rsidP="004A48A3">
            <w:pPr>
              <w:rPr>
                <w:lang w:val="nn-NO"/>
              </w:rPr>
            </w:pPr>
            <w:bookmarkStart w:id="2" w:name="_Hlk190268883"/>
            <w:proofErr w:type="spellStart"/>
            <w:r w:rsidRPr="004A48A3">
              <w:rPr>
                <w:lang w:val="nn-NO"/>
              </w:rPr>
              <w:t>Fradrag</w:t>
            </w:r>
            <w:proofErr w:type="spellEnd"/>
            <w:r w:rsidRPr="004A48A3">
              <w:rPr>
                <w:lang w:val="nn-NO"/>
              </w:rPr>
              <w:t xml:space="preserve"> av tilvekst i </w:t>
            </w:r>
            <w:proofErr w:type="spellStart"/>
            <w:r w:rsidRPr="004A48A3">
              <w:rPr>
                <w:lang w:val="nn-NO"/>
              </w:rPr>
              <w:t>avsatte</w:t>
            </w:r>
            <w:proofErr w:type="spellEnd"/>
            <w:r w:rsidRPr="004A48A3">
              <w:rPr>
                <w:lang w:val="nn-NO"/>
              </w:rPr>
              <w:t xml:space="preserve"> kantsoner (72 tusen ha) (i </w:t>
            </w:r>
            <w:proofErr w:type="spellStart"/>
            <w:r w:rsidRPr="004A48A3">
              <w:rPr>
                <w:lang w:val="nn-NO"/>
              </w:rPr>
              <w:t>hht</w:t>
            </w:r>
            <w:proofErr w:type="spellEnd"/>
            <w:r w:rsidRPr="004A48A3">
              <w:rPr>
                <w:lang w:val="nn-NO"/>
              </w:rPr>
              <w:t xml:space="preserve"> </w:t>
            </w:r>
            <w:proofErr w:type="spellStart"/>
            <w:r w:rsidRPr="004A48A3">
              <w:rPr>
                <w:lang w:val="nn-NO"/>
              </w:rPr>
              <w:t>gjennomsnittstall</w:t>
            </w:r>
            <w:proofErr w:type="spellEnd"/>
            <w:r w:rsidRPr="004A48A3">
              <w:rPr>
                <w:lang w:val="nn-NO"/>
              </w:rPr>
              <w:t xml:space="preserve"> for tilvekst i Norge)</w:t>
            </w:r>
            <w:bookmarkEnd w:id="2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088E5" w14:textId="77777777" w:rsidR="004A48A3" w:rsidRPr="004A48A3" w:rsidRDefault="004A48A3" w:rsidP="004A48A3">
            <w:r w:rsidRPr="004A48A3">
              <w:t>0,2</w:t>
            </w:r>
          </w:p>
        </w:tc>
        <w:tc>
          <w:tcPr>
            <w:tcW w:w="2510" w:type="dxa"/>
            <w:gridSpan w:val="2"/>
          </w:tcPr>
          <w:p w14:paraId="1C68DEFA" w14:textId="77777777" w:rsidR="004A48A3" w:rsidRDefault="004A48A3" w:rsidP="004A48A3"/>
          <w:p w14:paraId="4A230CC8" w14:textId="77777777" w:rsidR="004A48A3" w:rsidRDefault="004A48A3" w:rsidP="004A48A3"/>
          <w:p w14:paraId="1B2D1077" w14:textId="467A2558" w:rsidR="004A48A3" w:rsidRPr="004A48A3" w:rsidRDefault="004A48A3" w:rsidP="004A48A3">
            <w:r>
              <w:t>0,2</w:t>
            </w:r>
          </w:p>
        </w:tc>
      </w:tr>
      <w:tr w:rsidR="004A48A3" w:rsidRPr="004A48A3" w14:paraId="67C9D6A5" w14:textId="2ADD751B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ACD0" w14:textId="77777777" w:rsidR="004A48A3" w:rsidRPr="004A48A3" w:rsidRDefault="004A48A3" w:rsidP="004A48A3">
            <w:pPr>
              <w:rPr>
                <w:lang w:val="nn-NO"/>
              </w:rPr>
            </w:pPr>
            <w:proofErr w:type="spellStart"/>
            <w:r w:rsidRPr="004A48A3">
              <w:rPr>
                <w:lang w:val="nn-NO"/>
              </w:rPr>
              <w:t>Fradrag</w:t>
            </w:r>
            <w:proofErr w:type="spellEnd"/>
            <w:r w:rsidRPr="004A48A3">
              <w:rPr>
                <w:lang w:val="nn-NO"/>
              </w:rPr>
              <w:t xml:space="preserve"> for tilvekst i </w:t>
            </w:r>
            <w:proofErr w:type="spellStart"/>
            <w:r w:rsidRPr="004A48A3">
              <w:rPr>
                <w:lang w:val="nn-NO"/>
              </w:rPr>
              <w:t>avsatte</w:t>
            </w:r>
            <w:proofErr w:type="spellEnd"/>
            <w:r w:rsidRPr="004A48A3">
              <w:rPr>
                <w:lang w:val="nn-NO"/>
              </w:rPr>
              <w:t xml:space="preserve"> </w:t>
            </w:r>
            <w:proofErr w:type="spellStart"/>
            <w:r w:rsidRPr="004A48A3">
              <w:rPr>
                <w:lang w:val="nn-NO"/>
              </w:rPr>
              <w:t>nøkkelbiotoper</w:t>
            </w:r>
            <w:proofErr w:type="spellEnd"/>
            <w:r w:rsidRPr="004A48A3">
              <w:rPr>
                <w:lang w:val="nn-NO"/>
              </w:rPr>
              <w:t xml:space="preserve"> (120 tusen ha) (i </w:t>
            </w:r>
            <w:proofErr w:type="spellStart"/>
            <w:r w:rsidRPr="004A48A3">
              <w:rPr>
                <w:lang w:val="nn-NO"/>
              </w:rPr>
              <w:t>hht</w:t>
            </w:r>
            <w:proofErr w:type="spellEnd"/>
            <w:r w:rsidRPr="004A48A3">
              <w:rPr>
                <w:lang w:val="nn-NO"/>
              </w:rPr>
              <w:t xml:space="preserve"> </w:t>
            </w:r>
            <w:proofErr w:type="spellStart"/>
            <w:r w:rsidRPr="004A48A3">
              <w:rPr>
                <w:lang w:val="nn-NO"/>
              </w:rPr>
              <w:t>gjennomsnittstall</w:t>
            </w:r>
            <w:proofErr w:type="spellEnd"/>
            <w:r w:rsidRPr="004A48A3">
              <w:rPr>
                <w:lang w:val="nn-NO"/>
              </w:rPr>
              <w:t xml:space="preserve"> for tilvekst i Norge)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9841" w14:textId="77777777" w:rsidR="004A48A3" w:rsidRPr="004A48A3" w:rsidRDefault="004A48A3" w:rsidP="004A48A3">
            <w:r w:rsidRPr="004A48A3">
              <w:t>0,3</w:t>
            </w:r>
          </w:p>
        </w:tc>
        <w:tc>
          <w:tcPr>
            <w:tcW w:w="2510" w:type="dxa"/>
            <w:gridSpan w:val="2"/>
          </w:tcPr>
          <w:p w14:paraId="6DFB96B5" w14:textId="77777777" w:rsidR="004A48A3" w:rsidRDefault="004A48A3" w:rsidP="004A48A3"/>
          <w:p w14:paraId="6CABD418" w14:textId="77777777" w:rsidR="004A48A3" w:rsidRDefault="004A48A3" w:rsidP="004A48A3"/>
          <w:p w14:paraId="0CE2586A" w14:textId="14434615" w:rsidR="004A48A3" w:rsidRPr="004A48A3" w:rsidRDefault="004A48A3" w:rsidP="004A48A3">
            <w:r>
              <w:t>0,3</w:t>
            </w:r>
          </w:p>
        </w:tc>
      </w:tr>
      <w:tr w:rsidR="004A48A3" w:rsidRPr="004A48A3" w14:paraId="306AFC55" w14:textId="6266988C" w:rsidTr="004A48A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5A66" w14:textId="77777777" w:rsidR="004A48A3" w:rsidRPr="004A48A3" w:rsidRDefault="004A48A3" w:rsidP="004A48A3">
            <w:pPr>
              <w:rPr>
                <w:b/>
                <w:bCs/>
                <w:lang w:val="nn-NO"/>
              </w:rPr>
            </w:pPr>
            <w:r w:rsidRPr="004A48A3">
              <w:rPr>
                <w:b/>
                <w:bCs/>
                <w:lang w:val="nn-NO"/>
              </w:rPr>
              <w:t>Brutto tilvekst i økonomisk drivverdig areal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C875" w14:textId="7777777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>20,1</w:t>
            </w:r>
          </w:p>
        </w:tc>
        <w:tc>
          <w:tcPr>
            <w:tcW w:w="2510" w:type="dxa"/>
            <w:gridSpan w:val="2"/>
          </w:tcPr>
          <w:p w14:paraId="1AD5C276" w14:textId="77777777" w:rsidR="004A48A3" w:rsidRDefault="004A48A3" w:rsidP="004A48A3">
            <w:pPr>
              <w:rPr>
                <w:b/>
                <w:bCs/>
              </w:rPr>
            </w:pPr>
          </w:p>
          <w:p w14:paraId="14F71BFD" w14:textId="20B4737F" w:rsidR="004A48A3" w:rsidRP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20,1</w:t>
            </w:r>
          </w:p>
        </w:tc>
      </w:tr>
      <w:tr w:rsidR="00F647C3" w:rsidRPr="004A48A3" w14:paraId="3399F627" w14:textId="77777777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497F" w14:textId="77777777" w:rsidR="00F647C3" w:rsidRPr="004A48A3" w:rsidRDefault="00F647C3" w:rsidP="004A48A3">
            <w:pPr>
              <w:rPr>
                <w:b/>
                <w:b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5DFD" w14:textId="77777777" w:rsidR="00F647C3" w:rsidRPr="004A48A3" w:rsidRDefault="00F647C3" w:rsidP="004A48A3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14:paraId="4FD96603" w14:textId="77777777" w:rsidR="00F647C3" w:rsidRDefault="00F647C3" w:rsidP="004A48A3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14:paraId="622B5648" w14:textId="77777777" w:rsidR="00F647C3" w:rsidRDefault="00F647C3" w:rsidP="004A48A3">
            <w:pPr>
              <w:rPr>
                <w:b/>
                <w:bCs/>
              </w:rPr>
            </w:pPr>
          </w:p>
        </w:tc>
      </w:tr>
      <w:tr w:rsidR="004A48A3" w:rsidRPr="004A48A3" w14:paraId="26229967" w14:textId="66F96651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1BD4" w14:textId="77777777" w:rsidR="004A48A3" w:rsidRPr="004A48A3" w:rsidRDefault="004A48A3" w:rsidP="004A48A3">
            <w:pPr>
              <w:rPr>
                <w:b/>
                <w:b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B4A6A" w14:textId="0F93A259" w:rsidR="004A48A3" w:rsidRPr="004A48A3" w:rsidRDefault="00F647C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2024 (drivverdig areal)</w:t>
            </w:r>
          </w:p>
        </w:tc>
        <w:tc>
          <w:tcPr>
            <w:tcW w:w="1255" w:type="dxa"/>
          </w:tcPr>
          <w:p w14:paraId="6A80B697" w14:textId="584EEACD" w:rsidR="00F647C3" w:rsidRDefault="00F647C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66954D09" w14:textId="105B2FA9" w:rsidR="004A48A3" w:rsidRPr="004A48A3" w:rsidRDefault="004A48A3" w:rsidP="004A48A3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Prod skog</w:t>
            </w:r>
            <w:r w:rsidR="00F647C3">
              <w:rPr>
                <w:b/>
                <w:bCs/>
              </w:rPr>
              <w:t xml:space="preserve"> totalt</w:t>
            </w:r>
          </w:p>
        </w:tc>
        <w:tc>
          <w:tcPr>
            <w:tcW w:w="1255" w:type="dxa"/>
          </w:tcPr>
          <w:p w14:paraId="2028548C" w14:textId="20C25A61" w:rsidR="00F647C3" w:rsidRDefault="00F647C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155823CA" w14:textId="77777777" w:rsidR="00F647C3" w:rsidRDefault="00F647C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Prod skog,</w:t>
            </w:r>
          </w:p>
          <w:p w14:paraId="08D70E1E" w14:textId="4BBB5B8F" w:rsidR="004A48A3" w:rsidRPr="004A48A3" w:rsidRDefault="00F647C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A48A3">
              <w:rPr>
                <w:b/>
                <w:bCs/>
              </w:rPr>
              <w:t>rivverdig</w:t>
            </w:r>
          </w:p>
        </w:tc>
      </w:tr>
      <w:tr w:rsidR="00F647C3" w:rsidRPr="004A48A3" w14:paraId="474CB855" w14:textId="77777777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43C6" w14:textId="6481FF08" w:rsidR="00F647C3" w:rsidRPr="00F647C3" w:rsidRDefault="00F647C3" w:rsidP="004A48A3">
            <w:pPr>
              <w:rPr>
                <w:b/>
                <w:bCs/>
              </w:rPr>
            </w:pPr>
            <w:r w:rsidRPr="00F647C3">
              <w:rPr>
                <w:b/>
                <w:bCs/>
              </w:rPr>
              <w:t>Brutto tilvekst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6E47C" w14:textId="77777777" w:rsidR="00F647C3" w:rsidRPr="004A48A3" w:rsidRDefault="00F647C3" w:rsidP="004A48A3"/>
        </w:tc>
        <w:tc>
          <w:tcPr>
            <w:tcW w:w="1255" w:type="dxa"/>
          </w:tcPr>
          <w:p w14:paraId="366855EB" w14:textId="3F49CB13" w:rsidR="00F647C3" w:rsidRDefault="00F647C3" w:rsidP="004A48A3">
            <w:r>
              <w:t>24,1</w:t>
            </w:r>
          </w:p>
        </w:tc>
        <w:tc>
          <w:tcPr>
            <w:tcW w:w="1255" w:type="dxa"/>
          </w:tcPr>
          <w:p w14:paraId="5BB4EF49" w14:textId="407A168F" w:rsidR="00F647C3" w:rsidRDefault="00F647C3" w:rsidP="004A48A3">
            <w:r>
              <w:t>20,1</w:t>
            </w:r>
          </w:p>
        </w:tc>
      </w:tr>
      <w:tr w:rsidR="004A48A3" w:rsidRPr="004A48A3" w14:paraId="763E2DF4" w14:textId="3D453C76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D68B" w14:textId="77777777" w:rsidR="004A48A3" w:rsidRPr="004A48A3" w:rsidRDefault="004A48A3" w:rsidP="004A48A3">
            <w:r w:rsidRPr="004A48A3">
              <w:t xml:space="preserve">Naturlig avgang (død ved mengde). Basert på tall fra Landsskogtakseringen.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48F8" w14:textId="77777777" w:rsidR="004A48A3" w:rsidRPr="004A48A3" w:rsidRDefault="004A48A3" w:rsidP="004A48A3">
            <w:r w:rsidRPr="004A48A3">
              <w:t>6,0</w:t>
            </w:r>
          </w:p>
        </w:tc>
        <w:tc>
          <w:tcPr>
            <w:tcW w:w="1255" w:type="dxa"/>
          </w:tcPr>
          <w:p w14:paraId="5C845E09" w14:textId="77777777" w:rsidR="004A48A3" w:rsidRDefault="004A48A3" w:rsidP="004A48A3"/>
          <w:p w14:paraId="6D061366" w14:textId="65630CE5" w:rsidR="004A48A3" w:rsidRPr="004A48A3" w:rsidRDefault="004A48A3" w:rsidP="004A48A3">
            <w:pPr>
              <w:rPr>
                <w:sz w:val="22"/>
              </w:rPr>
            </w:pPr>
            <w:r>
              <w:t>7,0</w:t>
            </w:r>
          </w:p>
        </w:tc>
        <w:tc>
          <w:tcPr>
            <w:tcW w:w="1255" w:type="dxa"/>
          </w:tcPr>
          <w:p w14:paraId="2E7FFE0C" w14:textId="77777777" w:rsidR="004A48A3" w:rsidRDefault="004A48A3" w:rsidP="004A48A3"/>
          <w:p w14:paraId="242D511D" w14:textId="1D4AFAA2" w:rsidR="004A48A3" w:rsidRPr="004A48A3" w:rsidRDefault="004A48A3" w:rsidP="004A48A3">
            <w:r>
              <w:t>6,0</w:t>
            </w:r>
          </w:p>
        </w:tc>
      </w:tr>
      <w:tr w:rsidR="004A48A3" w:rsidRPr="004A48A3" w14:paraId="7AC3249C" w14:textId="798D7BA1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DE01" w14:textId="77777777" w:rsidR="004A48A3" w:rsidRPr="004A48A3" w:rsidRDefault="004A48A3" w:rsidP="004A48A3">
            <w:r w:rsidRPr="004A48A3">
              <w:rPr>
                <w:b/>
                <w:bCs/>
              </w:rPr>
              <w:t xml:space="preserve">Netto tilvekst tilgjengelig for avvirkning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A9A7" w14:textId="77777777" w:rsidR="004A48A3" w:rsidRPr="004A48A3" w:rsidRDefault="004A48A3" w:rsidP="004A48A3">
            <w:r w:rsidRPr="004A48A3">
              <w:rPr>
                <w:b/>
                <w:bCs/>
              </w:rPr>
              <w:t>14,1</w:t>
            </w:r>
          </w:p>
        </w:tc>
        <w:tc>
          <w:tcPr>
            <w:tcW w:w="1255" w:type="dxa"/>
          </w:tcPr>
          <w:p w14:paraId="6ECE2687" w14:textId="3B644F7C" w:rsidR="004A48A3" w:rsidRPr="004A48A3" w:rsidRDefault="004A48A3" w:rsidP="004A48A3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1</w:t>
            </w:r>
            <w:r w:rsidR="00F647C3">
              <w:rPr>
                <w:b/>
                <w:bCs/>
              </w:rPr>
              <w:t>7</w:t>
            </w:r>
            <w:r>
              <w:rPr>
                <w:b/>
                <w:bCs/>
              </w:rPr>
              <w:t>,1</w:t>
            </w:r>
          </w:p>
        </w:tc>
        <w:tc>
          <w:tcPr>
            <w:tcW w:w="1255" w:type="dxa"/>
          </w:tcPr>
          <w:p w14:paraId="43CCD53C" w14:textId="54AE0311" w:rsidR="004A48A3" w:rsidRPr="004A48A3" w:rsidRDefault="004A48A3" w:rsidP="004A48A3">
            <w:pPr>
              <w:rPr>
                <w:b/>
                <w:bCs/>
              </w:rPr>
            </w:pPr>
            <w:r>
              <w:rPr>
                <w:b/>
                <w:bCs/>
              </w:rPr>
              <w:t>14,1</w:t>
            </w:r>
          </w:p>
        </w:tc>
      </w:tr>
      <w:tr w:rsidR="004A48A3" w:rsidRPr="004A48A3" w14:paraId="04967E00" w14:textId="241D417B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E7D6" w14:textId="77777777" w:rsidR="004A48A3" w:rsidRDefault="004A48A3" w:rsidP="004A48A3">
            <w:bookmarkStart w:id="3" w:name="_Hlk190268956"/>
            <w:r w:rsidRPr="004A48A3">
              <w:t xml:space="preserve">Avvirkning fra SSB (2024) </w:t>
            </w:r>
          </w:p>
          <w:p w14:paraId="6D08170F" w14:textId="36F4B100" w:rsidR="004A48A3" w:rsidRDefault="004A48A3" w:rsidP="004A48A3">
            <w:r>
              <w:t>Angitt i Nationen 12.1.26 (2025)</w:t>
            </w:r>
          </w:p>
          <w:p w14:paraId="2B6076AD" w14:textId="70AE6290" w:rsidR="004A48A3" w:rsidRPr="004A48A3" w:rsidRDefault="004A48A3" w:rsidP="004A48A3">
            <w:r w:rsidRPr="004A48A3">
              <w:t>med påslag for topp, avfall, tynning m.m. som ligger igjen i skogen og som ikke går til salg. (20%)</w:t>
            </w:r>
            <w:bookmarkEnd w:id="3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8405" w14:textId="77777777" w:rsidR="004A48A3" w:rsidRPr="004A48A3" w:rsidRDefault="004A48A3" w:rsidP="004A48A3">
            <w:r w:rsidRPr="004A48A3">
              <w:t>14,2</w:t>
            </w:r>
          </w:p>
        </w:tc>
        <w:tc>
          <w:tcPr>
            <w:tcW w:w="1255" w:type="dxa"/>
          </w:tcPr>
          <w:p w14:paraId="250F6077" w14:textId="77777777" w:rsidR="004A48A3" w:rsidRDefault="004A48A3" w:rsidP="004A48A3"/>
          <w:p w14:paraId="12B1DECA" w14:textId="77777777" w:rsidR="00F647C3" w:rsidRDefault="00F647C3" w:rsidP="004A48A3"/>
          <w:p w14:paraId="7A5838E7" w14:textId="77777777" w:rsidR="00F647C3" w:rsidRDefault="00F647C3" w:rsidP="004A48A3"/>
          <w:p w14:paraId="03D5A760" w14:textId="77777777" w:rsidR="00F647C3" w:rsidRDefault="00F647C3" w:rsidP="004A48A3"/>
          <w:p w14:paraId="1322D36D" w14:textId="6EA74E5B" w:rsidR="00F647C3" w:rsidRPr="004A48A3" w:rsidRDefault="00F647C3" w:rsidP="004A48A3">
            <w:pPr>
              <w:rPr>
                <w:sz w:val="22"/>
              </w:rPr>
            </w:pPr>
            <w:r>
              <w:t>16,2</w:t>
            </w:r>
          </w:p>
        </w:tc>
        <w:tc>
          <w:tcPr>
            <w:tcW w:w="1255" w:type="dxa"/>
          </w:tcPr>
          <w:p w14:paraId="3E95EF12" w14:textId="77777777" w:rsidR="004A48A3" w:rsidRDefault="004A48A3" w:rsidP="004A48A3"/>
          <w:p w14:paraId="65CE913C" w14:textId="77777777" w:rsidR="00F647C3" w:rsidRDefault="00F647C3" w:rsidP="004A48A3"/>
          <w:p w14:paraId="51E1945D" w14:textId="77777777" w:rsidR="00F647C3" w:rsidRDefault="00F647C3" w:rsidP="004A48A3"/>
          <w:p w14:paraId="31C01AA3" w14:textId="77777777" w:rsidR="00F647C3" w:rsidRDefault="00F647C3" w:rsidP="004A48A3"/>
          <w:p w14:paraId="1165C7A1" w14:textId="639E6440" w:rsidR="00F647C3" w:rsidRPr="004A48A3" w:rsidRDefault="00F647C3" w:rsidP="004A48A3">
            <w:r>
              <w:t>16,2</w:t>
            </w:r>
          </w:p>
        </w:tc>
      </w:tr>
      <w:tr w:rsidR="004A48A3" w:rsidRPr="004A48A3" w14:paraId="7BF3C580" w14:textId="08A82AF5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C72BC" w14:textId="77777777" w:rsidR="004A48A3" w:rsidRPr="004A48A3" w:rsidRDefault="004A48A3" w:rsidP="004A48A3">
            <w:bookmarkStart w:id="4" w:name="_Hlk190268976"/>
            <w:r w:rsidRPr="004A48A3">
              <w:t>Uttak av ved til brensel (SSB 2023 + 9%)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5AA3" w14:textId="77777777" w:rsidR="004A48A3" w:rsidRPr="004A48A3" w:rsidRDefault="004A48A3" w:rsidP="004A48A3">
            <w:r w:rsidRPr="004A48A3">
              <w:t>2,5</w:t>
            </w:r>
          </w:p>
        </w:tc>
        <w:tc>
          <w:tcPr>
            <w:tcW w:w="1255" w:type="dxa"/>
          </w:tcPr>
          <w:p w14:paraId="29CDB559" w14:textId="5C121E00" w:rsidR="004A48A3" w:rsidRPr="004A48A3" w:rsidRDefault="00F647C3" w:rsidP="004A48A3">
            <w:pPr>
              <w:rPr>
                <w:sz w:val="22"/>
              </w:rPr>
            </w:pPr>
            <w:r>
              <w:t>2,5</w:t>
            </w:r>
          </w:p>
        </w:tc>
        <w:tc>
          <w:tcPr>
            <w:tcW w:w="1255" w:type="dxa"/>
          </w:tcPr>
          <w:p w14:paraId="3684A6B6" w14:textId="2EA936C1" w:rsidR="004A48A3" w:rsidRPr="004A48A3" w:rsidRDefault="00F647C3" w:rsidP="004A48A3">
            <w:r>
              <w:t>2,5</w:t>
            </w:r>
          </w:p>
        </w:tc>
        <w:bookmarkEnd w:id="4"/>
      </w:tr>
      <w:tr w:rsidR="004A48A3" w:rsidRPr="004A48A3" w14:paraId="6DFC3D1C" w14:textId="19FC6651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B8BC" w14:textId="77777777" w:rsidR="004A48A3" w:rsidRPr="004A48A3" w:rsidRDefault="004A48A3" w:rsidP="004A48A3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DA3E" w14:textId="77777777" w:rsidR="004A48A3" w:rsidRPr="004A48A3" w:rsidRDefault="004A48A3" w:rsidP="004A48A3"/>
        </w:tc>
        <w:tc>
          <w:tcPr>
            <w:tcW w:w="1255" w:type="dxa"/>
          </w:tcPr>
          <w:p w14:paraId="335D2454" w14:textId="77777777" w:rsidR="004A48A3" w:rsidRPr="004A48A3" w:rsidRDefault="004A48A3" w:rsidP="004A48A3">
            <w:pPr>
              <w:rPr>
                <w:sz w:val="22"/>
              </w:rPr>
            </w:pPr>
          </w:p>
        </w:tc>
        <w:tc>
          <w:tcPr>
            <w:tcW w:w="1255" w:type="dxa"/>
          </w:tcPr>
          <w:p w14:paraId="02EDEEDF" w14:textId="29581653" w:rsidR="004A48A3" w:rsidRPr="004A48A3" w:rsidRDefault="004A48A3" w:rsidP="004A48A3"/>
        </w:tc>
      </w:tr>
      <w:tr w:rsidR="004A48A3" w:rsidRPr="004A48A3" w14:paraId="54828B0A" w14:textId="7CF19263" w:rsidTr="000443E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4B0C" w14:textId="7777777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>Netto tilvekst minus avvirkning og naturlig avgang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AB5B" w14:textId="77777777" w:rsidR="004A48A3" w:rsidRPr="004A48A3" w:rsidRDefault="004A48A3" w:rsidP="004A48A3">
            <w:pPr>
              <w:rPr>
                <w:b/>
                <w:bCs/>
              </w:rPr>
            </w:pPr>
            <w:r w:rsidRPr="004A48A3">
              <w:rPr>
                <w:b/>
                <w:bCs/>
              </w:rPr>
              <w:t>-2,6</w:t>
            </w:r>
          </w:p>
        </w:tc>
        <w:tc>
          <w:tcPr>
            <w:tcW w:w="1255" w:type="dxa"/>
          </w:tcPr>
          <w:p w14:paraId="58B01423" w14:textId="77777777" w:rsidR="004A48A3" w:rsidRDefault="004A48A3" w:rsidP="004A48A3">
            <w:pPr>
              <w:rPr>
                <w:b/>
                <w:bCs/>
              </w:rPr>
            </w:pPr>
          </w:p>
          <w:p w14:paraId="71E99723" w14:textId="524DB4BB" w:rsidR="00D37788" w:rsidRPr="004A48A3" w:rsidRDefault="00D37788" w:rsidP="004A48A3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-1,6</w:t>
            </w:r>
          </w:p>
        </w:tc>
        <w:tc>
          <w:tcPr>
            <w:tcW w:w="1255" w:type="dxa"/>
          </w:tcPr>
          <w:p w14:paraId="5708E64D" w14:textId="77777777" w:rsidR="004A48A3" w:rsidRDefault="004A48A3" w:rsidP="004A48A3">
            <w:pPr>
              <w:rPr>
                <w:b/>
                <w:bCs/>
              </w:rPr>
            </w:pPr>
          </w:p>
          <w:p w14:paraId="5A89D4B4" w14:textId="71E4D8B5" w:rsidR="00D37788" w:rsidRPr="00743967" w:rsidRDefault="00743967" w:rsidP="00743967">
            <w:pPr>
              <w:rPr>
                <w:b/>
                <w:bCs/>
              </w:rPr>
            </w:pPr>
            <w:r w:rsidRPr="0074396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D37788" w:rsidRPr="00743967">
              <w:rPr>
                <w:b/>
                <w:bCs/>
              </w:rPr>
              <w:t>4,6</w:t>
            </w:r>
          </w:p>
        </w:tc>
      </w:tr>
    </w:tbl>
    <w:p w14:paraId="2F1CE0D4" w14:textId="77777777" w:rsidR="004A48A3" w:rsidRPr="004A48A3" w:rsidRDefault="004A48A3" w:rsidP="004A48A3"/>
    <w:p w14:paraId="68C438C7" w14:textId="77777777" w:rsidR="00D86252" w:rsidRDefault="00D86252"/>
    <w:sectPr w:rsidR="00D8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A6FD" w14:textId="77777777" w:rsidR="00B06932" w:rsidRDefault="00B06932" w:rsidP="004A48A3">
      <w:r>
        <w:separator/>
      </w:r>
    </w:p>
  </w:endnote>
  <w:endnote w:type="continuationSeparator" w:id="0">
    <w:p w14:paraId="438BFE4E" w14:textId="77777777" w:rsidR="00B06932" w:rsidRDefault="00B06932" w:rsidP="004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0249" w14:textId="77777777" w:rsidR="00B06932" w:rsidRDefault="00B06932" w:rsidP="004A48A3">
      <w:r>
        <w:separator/>
      </w:r>
    </w:p>
  </w:footnote>
  <w:footnote w:type="continuationSeparator" w:id="0">
    <w:p w14:paraId="380BAE4D" w14:textId="77777777" w:rsidR="00B06932" w:rsidRDefault="00B06932" w:rsidP="004A48A3">
      <w:r>
        <w:continuationSeparator/>
      </w:r>
    </w:p>
  </w:footnote>
  <w:footnote w:id="1">
    <w:p w14:paraId="01E9ED40" w14:textId="77777777" w:rsidR="004A48A3" w:rsidRDefault="004A48A3" w:rsidP="004A48A3">
      <w:pPr>
        <w:pStyle w:val="Fotnotetekst"/>
      </w:pPr>
      <w:r>
        <w:rPr>
          <w:rStyle w:val="Fotnotereferanse"/>
        </w:rPr>
        <w:footnoteRef/>
      </w:r>
      <w:r>
        <w:t xml:space="preserve"> Kilder til tallene i tabellen framkommer i beskrivelsene av de enkelte analyseobjektene.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5A38"/>
    <w:multiLevelType w:val="hybridMultilevel"/>
    <w:tmpl w:val="D9C88230"/>
    <w:lvl w:ilvl="0" w:tplc="4F6A169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A3"/>
    <w:rsid w:val="00132774"/>
    <w:rsid w:val="001A70E9"/>
    <w:rsid w:val="00260962"/>
    <w:rsid w:val="00323D69"/>
    <w:rsid w:val="00352102"/>
    <w:rsid w:val="004A48A3"/>
    <w:rsid w:val="00546B43"/>
    <w:rsid w:val="00687DA8"/>
    <w:rsid w:val="00743967"/>
    <w:rsid w:val="007848E7"/>
    <w:rsid w:val="007C044C"/>
    <w:rsid w:val="00821261"/>
    <w:rsid w:val="00B06932"/>
    <w:rsid w:val="00B60CA1"/>
    <w:rsid w:val="00BD11BF"/>
    <w:rsid w:val="00D37788"/>
    <w:rsid w:val="00D86252"/>
    <w:rsid w:val="00E9768C"/>
    <w:rsid w:val="00F05732"/>
    <w:rsid w:val="00F647C3"/>
    <w:rsid w:val="00FB6456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590F"/>
  <w15:chartTrackingRefBased/>
  <w15:docId w15:val="{25F3498D-E583-46D0-B3CF-D58821A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4C"/>
    <w:pPr>
      <w:spacing w:after="0" w:line="240" w:lineRule="auto"/>
    </w:pPr>
    <w:rPr>
      <w:rFonts w:ascii="Times New Roman" w:hAnsi="Times New Roman" w:cs="Calibr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456"/>
    <w:pPr>
      <w:keepNext/>
      <w:keepLines/>
      <w:spacing w:before="240"/>
      <w:outlineLvl w:val="0"/>
    </w:pPr>
    <w:rPr>
      <w:rFonts w:eastAsiaTheme="majorEastAsia" w:cstheme="majorBidi"/>
      <w:b/>
      <w:sz w:val="3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70E9"/>
    <w:pPr>
      <w:keepNext/>
      <w:keepLines/>
      <w:spacing w:before="40"/>
      <w:outlineLvl w:val="1"/>
    </w:pPr>
    <w:rPr>
      <w:rFonts w:eastAsiaTheme="majorEastAsia" w:cstheme="majorBidi"/>
      <w:b/>
      <w:i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6B43"/>
    <w:pPr>
      <w:keepNext/>
      <w:keepLines/>
      <w:spacing w:before="40"/>
      <w:outlineLvl w:val="2"/>
    </w:pPr>
    <w:rPr>
      <w:rFonts w:eastAsiaTheme="majorEastAsia" w:cstheme="majorBidi"/>
      <w:b/>
      <w:i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46B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48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48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48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48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48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6456"/>
    <w:rPr>
      <w:rFonts w:ascii="Times New Roman" w:eastAsiaTheme="majorEastAsia" w:hAnsi="Times New Roman" w:cstheme="majorBidi"/>
      <w:b/>
      <w:sz w:val="34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6B43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A70E9"/>
    <w:rPr>
      <w:rFonts w:ascii="Times New Roman" w:eastAsiaTheme="majorEastAsia" w:hAnsi="Times New Roman" w:cstheme="majorBidi"/>
      <w:b/>
      <w:i/>
      <w:sz w:val="30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46B43"/>
    <w:rPr>
      <w:rFonts w:asciiTheme="majorHAnsi" w:eastAsiaTheme="majorEastAsia" w:hAnsiTheme="majorHAnsi" w:cstheme="majorBidi"/>
      <w:b/>
      <w:iCs/>
      <w:sz w:val="24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B6456"/>
    <w:pPr>
      <w:contextualSpacing/>
      <w:jc w:val="center"/>
    </w:pPr>
    <w:rPr>
      <w:rFonts w:eastAsiaTheme="majorEastAsia" w:cstheme="majorBidi"/>
      <w:b/>
      <w:spacing w:val="-10"/>
      <w:kern w:val="28"/>
      <w:sz w:val="4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456"/>
    <w:rPr>
      <w:rFonts w:ascii="Times New Roman" w:eastAsiaTheme="majorEastAsia" w:hAnsi="Times New Roman" w:cstheme="majorBidi"/>
      <w:b/>
      <w:spacing w:val="-10"/>
      <w:kern w:val="28"/>
      <w:sz w:val="4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3D69"/>
    <w:pPr>
      <w:numPr>
        <w:ilvl w:val="1"/>
      </w:numPr>
      <w:spacing w:before="120" w:after="280"/>
      <w:jc w:val="center"/>
    </w:pPr>
    <w:rPr>
      <w:rFonts w:eastAsiaTheme="minorEastAsia"/>
      <w:b/>
      <w:i/>
      <w:color w:val="5A5A5A" w:themeColor="text1" w:themeTint="A5"/>
      <w:spacing w:val="15"/>
      <w:sz w:val="3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3D69"/>
    <w:rPr>
      <w:rFonts w:ascii="Times New Roman" w:eastAsiaTheme="minorEastAsia" w:hAnsi="Times New Roman"/>
      <w:b/>
      <w:i/>
      <w:color w:val="5A5A5A" w:themeColor="text1" w:themeTint="A5"/>
      <w:spacing w:val="15"/>
      <w:sz w:val="3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48A3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48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48A3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48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48A3"/>
    <w:rPr>
      <w:rFonts w:eastAsiaTheme="majorEastAsia" w:cstheme="majorBidi"/>
      <w:color w:val="272727" w:themeColor="text1" w:themeTint="D8"/>
      <w:sz w:val="24"/>
    </w:rPr>
  </w:style>
  <w:style w:type="paragraph" w:styleId="Sitat">
    <w:name w:val="Quote"/>
    <w:basedOn w:val="Normal"/>
    <w:next w:val="Normal"/>
    <w:link w:val="SitatTegn"/>
    <w:uiPriority w:val="29"/>
    <w:qFormat/>
    <w:rsid w:val="004A4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A48A3"/>
    <w:rPr>
      <w:rFonts w:ascii="Times New Roman" w:hAnsi="Times New Roman" w:cs="Calibri"/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4A48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A48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48A3"/>
    <w:rPr>
      <w:rFonts w:ascii="Times New Roman" w:hAnsi="Times New Roman" w:cs="Calibri"/>
      <w:i/>
      <w:iCs/>
      <w:color w:val="0F4761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4A48A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A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4A48A3"/>
    <w:rPr>
      <w:rFonts w:asciiTheme="minorHAnsi" w:hAnsiTheme="minorHAnsi" w:cstheme="minorBidi"/>
      <w:kern w:val="0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A48A3"/>
    <w:rPr>
      <w:kern w:val="0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A4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 Andersen</dc:creator>
  <cp:keywords/>
  <dc:description/>
  <cp:lastModifiedBy>Gjermund Andersen</cp:lastModifiedBy>
  <cp:revision>2</cp:revision>
  <dcterms:created xsi:type="dcterms:W3CDTF">2026-01-19T10:40:00Z</dcterms:created>
  <dcterms:modified xsi:type="dcterms:W3CDTF">2026-01-19T11:28:00Z</dcterms:modified>
</cp:coreProperties>
</file>